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vertAlign w:val="baseline"/>
        </w:rPr>
        <w:t>河南省直第三人民医院东院区门诊综合楼外墙发光字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vertAlign w:val="baseline"/>
          <w:lang w:val="en-US" w:eastAsia="zh-CN"/>
        </w:rPr>
        <w:t>项目需求清单及技术要求</w:t>
      </w:r>
    </w:p>
    <w:bookmarkEnd w:id="0"/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项目背景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河南省直第三人民医院东院区门诊部楼顶“省直三院”发光字体一套，住院部楼顶“河南省直第三人民医院”发光字体一套，</w:t>
      </w:r>
      <w:r>
        <w:rPr>
          <w:rFonts w:hint="eastAsia" w:ascii="仿宋" w:hAnsi="仿宋" w:eastAsia="仿宋" w:cs="仿宋"/>
          <w:sz w:val="32"/>
          <w:szCs w:val="32"/>
        </w:rPr>
        <w:t>由于老化已出现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部分光源损坏，导致</w:t>
      </w:r>
      <w:r>
        <w:rPr>
          <w:rFonts w:hint="eastAsia" w:ascii="仿宋" w:hAnsi="仿宋" w:eastAsia="仿宋" w:cs="仿宋"/>
          <w:sz w:val="32"/>
          <w:szCs w:val="32"/>
        </w:rPr>
        <w:t>色度不一致且影响发光效果，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医院办公室</w:t>
      </w:r>
      <w:r>
        <w:rPr>
          <w:rFonts w:hint="eastAsia" w:ascii="仿宋" w:hAnsi="仿宋" w:eastAsia="仿宋" w:cs="仿宋"/>
          <w:sz w:val="32"/>
          <w:szCs w:val="32"/>
        </w:rPr>
        <w:t>计划对以上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处发光字体进行更新改造。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成交供应商质保周期不少于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年。本次更新改造计划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底前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完成拆除原旧发光字体、制作和安装新发光字体。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需求清单</w:t>
      </w:r>
    </w:p>
    <w:tbl>
      <w:tblPr>
        <w:tblStyle w:val="2"/>
        <w:tblW w:w="9465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55"/>
        <w:gridCol w:w="735"/>
        <w:gridCol w:w="960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20" w:type="dxa"/>
            <w:shd w:val="clear" w:color="auto" w:fill="D7D7D7" w:themeFill="background1" w:themeFillShade="D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755" w:type="dxa"/>
            <w:shd w:val="clear" w:color="auto" w:fill="D7D7D7" w:themeFill="background1" w:themeFillShade="D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735" w:type="dxa"/>
            <w:shd w:val="clear" w:color="auto" w:fill="D7D7D7" w:themeFill="background1" w:themeFillShade="D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960" w:type="dxa"/>
            <w:shd w:val="clear" w:color="auto" w:fill="D7D7D7" w:themeFill="background1" w:themeFillShade="D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5295" w:type="dxa"/>
            <w:shd w:val="clear" w:color="auto" w:fill="D7D7D7" w:themeFill="background1" w:themeFillShade="D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材料或制作说明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墙体字拆卸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224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拆卸费及搬运费和高空安装人员保险费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B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墙体字灯拆卸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原有字面旧灯拆除运转处理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C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墙体字双面翻新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224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字体原有漆面处理，字面打磨，字体锈斑处理，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防锈防氧化处理;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环氧底漆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2遍，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氟碳漆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2遍，防紫外线漆1遍。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D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LED新光源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224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5vLED光源：憨豆XH-HE0901M05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超高亮光源，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色温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9000K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光衰慢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寿命长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墙体字灯安装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直接费用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F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控制系统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224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5vLED光源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专用变压器，正泰交流接触器配套定时器，配电箱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G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安装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费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224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安装费及搬运费和高空安装人员保险费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H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运输费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直接费用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I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辅助材料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焊条，膨胀丝，切割片，螺钉，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结构胶，密封胶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J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架费用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4×4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热镀锌角钢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焊制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防锈防氧化处理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，加固标识标牌牢固，墙面不出现锈斑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K</w:t>
            </w:r>
          </w:p>
        </w:tc>
        <w:tc>
          <w:tcPr>
            <w:tcW w:w="17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标识线路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295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原有旧老线路拆除，新标识须重新铺设线径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为5*4、2*4、2*2.5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65" w:type="dxa"/>
            <w:gridSpan w:val="5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备注：LED发光字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光源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终身维修，保修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年。“河南省直第三人民医院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+省直三院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”单字为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米大。</w:t>
            </w:r>
          </w:p>
        </w:tc>
      </w:tr>
    </w:tbl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最高限价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18万元。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技术要求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H座住院部16层医院名称，“河南省直第三人民医院”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单个字体尺寸4m*4m，诊部楼顶“省直三院”单个字体尺寸4m*4m，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字体原有漆面处理，字面打磨，字体锈斑处理，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防锈防氧化处理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;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环氧底漆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2遍，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氟碳漆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2遍，防紫外线漆1遍。更换5vLED光源：憨豆XH-HE0901M05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超高亮光源，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欧司朗或晶元芯片，色温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9000K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，配套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5vLED光源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专用变压器</w:t>
      </w:r>
      <w:r>
        <w:rPr>
          <w:rFonts w:hint="eastAsia" w:ascii="仿宋" w:hAnsi="仿宋" w:eastAsia="仿宋" w:cs="仿宋"/>
          <w:b w:val="0"/>
          <w:bCs w:val="0"/>
          <w:color w:val="000000"/>
          <w:sz w:val="48"/>
          <w:szCs w:val="48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必须使用配套LED光源标准线。原有字后钢架打磨清除锈斑，防锈处理。原有字后钢架重新检查需加固，必须加固，国标L40或以上热镀锌角钢热熔焊接，焊点清理并防锈处理，夯实牢固基础。墙面不被锈水污染。标识安装时无需焊接要选用无焊接安装，需焊接安装要做好相关安全措施，方可进行安装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亚克力板采用不小于5mm厚亚克力板；光源采用LED光源；底托及边框采用304不锈钢。住院部25层医院名称亚克力字、LED光源字后背国标L40或以上角铁框架。卒中中心、胸痛中心亚克力字、LED光源字后背采用国标L25或以上角铁焊接支撑及基础；急诊亚克力字、LED光源字后背国标L40或以上角铁焊接支撑及基础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人员要求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所派工作人员涉及电气部分，须持有低压操作证件，且在管理部门核发证件有效期内；高空作业人员持有相关管理部门核发的高空作业人员操作资格证件，且在管理部门核发证件有效期内；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所派的工作人员，必须无条件满足医院有关工作要求，否则造成的一切损失，由供应商承担全部责任。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</w:t>
      </w: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履约验收方案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材料进场，对材料进行验收，满足医院要求，安装调试后对整体运行效果进行验收。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（1）履约验收科室：医院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办公室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（2）履约验收时间：2024年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底之前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（3）履约验收方式：现场验收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（4）履约验收程序：现场验收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（5）履约验收内容：验收人由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医院办公室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组织本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室不少于3人，检查现场设备运行情况，运行情况良好，满足验收标准可认定为验收合格。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（6）履约验收标准：安装方式以及对应电气工程符合国家或行业等相关规范；满足医院相关管理要求。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F135030-2975-4705-AF83-48B08A559E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5476B25-35EE-48D6-AF7A-FB66DC9F2D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68AC475-7995-4FD6-8999-211DA1B9B29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10B16"/>
    <w:multiLevelType w:val="singleLevel"/>
    <w:tmpl w:val="B8C10B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YTdmMzJhODIyYjE1MzEyMmU0YTAxZjZiMDQ4ZGEifQ=="/>
  </w:docVars>
  <w:rsids>
    <w:rsidRoot w:val="08592509"/>
    <w:rsid w:val="08592509"/>
    <w:rsid w:val="3DBD71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1314</Words>
  <Characters>1423</Characters>
  <Lines>0</Lines>
  <Paragraphs>0</Paragraphs>
  <TotalTime>1</TotalTime>
  <ScaleCrop>false</ScaleCrop>
  <LinksUpToDate>false</LinksUpToDate>
  <CharactersWithSpaces>1424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2024-06-24T03:17:00Z</dcterms:created>
  <dc:creator>WPS_196533436</dc:creator>
  <cp:lastModifiedBy>WPS_196533436</cp:lastModifiedBy>
  <dcterms:modified xsi:type="dcterms:W3CDTF">2024-06-26T08:57:29Z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829800FFB06D4F3B9504502B25A54A57_11</vt:lpwstr>
  </property>
</Properties>
</file>