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附件1</w:t>
      </w:r>
      <w:r>
        <w:rPr>
          <w:rFonts w:hint="eastAsia" w:ascii="宋体" w:hAnsi="宋体" w:cs="宋体"/>
          <w:b/>
          <w:sz w:val="24"/>
          <w:lang w:eastAsia="zh-CN"/>
        </w:rPr>
        <w:t>：</w:t>
      </w:r>
      <w:r>
        <w:rPr>
          <w:rFonts w:hint="eastAsia" w:ascii="宋体" w:hAnsi="宋体" w:cs="宋体"/>
          <w:b/>
          <w:sz w:val="24"/>
        </w:rPr>
        <w:t>基坑安全变形监测及新建建筑物沉降观测项目报价格式</w:t>
      </w:r>
    </w:p>
    <w:tbl>
      <w:tblPr>
        <w:tblStyle w:val="7"/>
        <w:tblpPr w:leftFromText="180" w:rightFromText="180" w:vertAnchor="text" w:horzAnchor="page" w:tblpX="1832" w:tblpY="2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66"/>
        <w:gridCol w:w="1566"/>
        <w:gridCol w:w="1056"/>
        <w:gridCol w:w="726"/>
        <w:gridCol w:w="1127"/>
        <w:gridCol w:w="865"/>
        <w:gridCol w:w="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监测项目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初设费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</w:rPr>
              <w:t>（元/点）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监测点数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监测费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</w:rPr>
              <w:t>（元/点</w:t>
            </w:r>
            <w:r>
              <w:rPr>
                <w:rFonts w:hint="eastAsia"/>
                <w:sz w:val="10"/>
                <w:szCs w:val="10"/>
              </w:rPr>
              <w:t>●</w:t>
            </w:r>
            <w:r>
              <w:rPr>
                <w:rFonts w:hint="eastAsia"/>
              </w:rPr>
              <w:t>次）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监测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次数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综合报</w:t>
            </w:r>
            <w:r>
              <w:rPr>
                <w:rFonts w:hint="eastAsia"/>
                <w:b/>
                <w:bCs/>
                <w:lang w:eastAsia="zh-CN"/>
              </w:rPr>
              <w:t>价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冠梁、坡顶部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水平位移监测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冠梁、坡顶部 竖向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位移监测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冠梁、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深层水平    位移监测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护坡桩内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立柱竖向    位移监测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立柱顶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锚索内力监测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锚端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支撑内力监测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周边地表、道路竖向位移监测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周边地表、道路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周边建筑物竖向位移、倾斜监测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周边建筑物（构筑物）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周边管线竖向位移监测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周边管线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周边建（构）筑物裂缝、地表裂缝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周边建（构）筑物、道路、地表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水位监测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基坑周边及基坑内部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支护结构、施工状况、周边环境等内容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沉降观测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新建建筑物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textAlignment w:val="bottom"/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  <w:t>监测要求：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ottom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综合报价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依据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设计文件和相关规范要求的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监测次数进行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价，为完成基坑监测工作的所有价格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。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bottom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监测范围符合设计和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《建筑基坑工程监测技术标准》等现行国家规范标准要求。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bottom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监测项目符合设计和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《建筑基坑工程监测技术标准》等现行国家规范标准要求。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bottom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监测点位的数量和布置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符合设计图纸和《建筑基坑工程监测技术标准》等现行国家规范标准要求。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bottom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监测频率：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符合设计图纸和《建筑基坑工程监测技术标准》等现行国家规范标准要求。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bottom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监测方法及精度符合设计及《建筑基坑工程监测技术标准》等现行国家规范标准要求。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基坑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及支护结构、基坑周边环境监测预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警值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：符合设计图纸及《建筑基坑工程监测技术标准》等现行国家规范标准要求。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7、监测数据处理与信息反馈符合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设计图纸和《建筑基坑工程监测技术标准》等现行国家规范标准要求。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、相邻建筑的局部倾斜不得大于0.003。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、降水勘察期和降水检验前应统测一次自然水位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抽水开始后，在水位未达到设计降水深度以前，每天观测三次水位、水量。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、当水位己达到设计降水深度，目趋于稳定时，可每天观测一次;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、在受地表水体补给影响的地区或在雨季时，观测次数宜每日2~3次。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12、从基坑边缘以外3倍开挖深度范围内的需保护的建（构）筑物、地下管线等均应作为监控对象，必要时，尚应扩大监控范围。</w:t>
      </w:r>
    </w:p>
    <w:p>
      <w:pPr>
        <w:pStyle w:val="4"/>
        <w:numPr>
          <w:ilvl w:val="0"/>
          <w:numId w:val="0"/>
        </w:numPr>
        <w:spacing w:line="360" w:lineRule="auto"/>
        <w:ind w:leftChars="1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0" w:chapSep="emDash"/>
          <w:cols w:space="720" w:num="1"/>
          <w:titlePg/>
          <w:rtlGutter w:val="0"/>
          <w:docGrid w:type="lines" w:linePitch="312" w:charSpace="0"/>
        </w:sectPr>
      </w:pPr>
    </w:p>
    <w:p>
      <w:pPr>
        <w:spacing w:line="360" w:lineRule="auto"/>
        <w:rPr>
          <w:rFonts w:hint="eastAsia"/>
          <w:b/>
          <w:bCs/>
          <w:sz w:val="24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8"/>
          <w:szCs w:val="28"/>
        </w:rPr>
        <w:t>桩基检测清单</w:t>
      </w: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河南省直第三人民医院基坑支护桩检测清单</w:t>
      </w:r>
    </w:p>
    <w:tbl>
      <w:tblPr>
        <w:tblStyle w:val="7"/>
        <w:tblW w:w="0" w:type="auto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65"/>
        <w:gridCol w:w="2490"/>
        <w:gridCol w:w="2055"/>
        <w:gridCol w:w="1171"/>
        <w:gridCol w:w="1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检查内容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检测数量（根）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预应力锚索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锚索抗拔承载能力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三轴搅拌桩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取样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钻孔灌注桩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桩身完整性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宋体" w:hAnsi="宋体" w:eastAsia="宋体" w:cs="Times New Roman"/>
          <w:b/>
          <w:bCs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备注：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宋体" w:hAnsi="宋体" w:eastAsia="宋体" w:cs="Times New Roman"/>
          <w:b w:val="0"/>
          <w:bCs w:val="0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default" w:ascii="宋体" w:hAnsi="宋体" w:eastAsia="宋体" w:cs="Times New Roman"/>
          <w:b w:val="0"/>
          <w:bCs w:val="0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①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、预应力锚索抗拔承载能力检测数量：不应少于锚索总数的5%，且同一土层的锚索检测数量不应少于3根。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default" w:ascii="宋体" w:hAnsi="宋体" w:eastAsia="宋体" w:cs="Times New Roman"/>
          <w:b w:val="0"/>
          <w:bCs w:val="0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②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、三轴搅拌桩钻芯取样数量：不宜少于总桩数的2%，且不应少于3根。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b w:val="0"/>
          <w:bCs w:val="0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③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、灌注桩检测数量：应采用低应变动测法检测桩身完整性，检测桩数不宜少于总桩数的20%，且不得少于5根。</w:t>
      </w:r>
    </w:p>
    <w:p>
      <w:pPr>
        <w:pStyle w:val="4"/>
        <w:numPr>
          <w:ilvl w:val="0"/>
          <w:numId w:val="0"/>
        </w:numPr>
        <w:jc w:val="left"/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</w:p>
    <w:p>
      <w:pPr>
        <w:pStyle w:val="4"/>
        <w:numPr>
          <w:ilvl w:val="0"/>
          <w:numId w:val="0"/>
        </w:numPr>
        <w:jc w:val="left"/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附件3：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施工现场周边环境安全评估</w:t>
      </w:r>
    </w:p>
    <w:p>
      <w:pP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left="2693" w:leftChars="0"/>
        <w:rPr>
          <w:rFonts w:hint="default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562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评估内容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综合报价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涉及周边环境的专项施工方案是否符合国家强制性标准规范要求，是否影响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周边环境安全</w:t>
            </w:r>
          </w:p>
        </w:tc>
        <w:tc>
          <w:tcPr>
            <w:tcW w:w="1995" w:type="dxa"/>
            <w:vMerge w:val="restart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毗临高压线、高架桥、高大建筑、重要公共建筑及市政基础设施工程的状况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工程施工对毗邻建筑物、构筑物(含围墙、护坡、挡土墙)的影响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施工方法对周边建筑物、地下管线、市政道路等公用设施的影响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靠近水体、油库、地下管线、人防坑道、堤坝、危险品库、军事设施、测量标志的状况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桩基施工、深基坑施工、顶管施工、隧道及盾构施工、地下建筑物和施工降水对周边环境的影响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施工现场的临时设施选址是否合理，且应符合城市环境要求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施工现场脚手架、高支模、塔吊、易燃易爆化学品、有毒有害气体等重大危险源对周边建(构)筑物、电缆、通讯、居民、行人、道路、车辆、集贸市场、幼儿园和学校等人员密集场所安全的影响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施工中各种粉尘、废气、废水、固体废弃物以及噪声、振动对环境的污染和危害程度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其他可能造成严重后果的危险源情况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93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62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对施工现场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周边环境进行详细调查、拍照和记录</w:t>
            </w: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0C2C8E"/>
    <w:multiLevelType w:val="singleLevel"/>
    <w:tmpl w:val="EB0C2C8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E"/>
    <w:multiLevelType w:val="multilevel"/>
    <w:tmpl w:val="0000000E"/>
    <w:lvl w:ilvl="0" w:tentative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 w:ascii="方正大标宋简体" w:eastAsia="方正大标宋简体"/>
        <w:b w:val="0"/>
        <w:i w:val="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entative="0">
      <w:start w:val="1"/>
      <w:numFmt w:val="decimal"/>
      <w:pStyle w:val="4"/>
      <w:suff w:val="nothing"/>
      <w:lvlText w:val="    %2、"/>
      <w:lvlJc w:val="left"/>
      <w:pPr>
        <w:ind w:left="2693" w:firstLine="0"/>
      </w:pPr>
      <w:rPr>
        <w:rFonts w:hint="eastAsia" w:ascii="黑体" w:eastAsia="黑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    %2.%3.%4  "/>
      <w:lvlJc w:val="left"/>
      <w:pPr>
        <w:ind w:left="0" w:firstLine="0"/>
      </w:pPr>
      <w:rPr>
        <w:rFonts w:hint="eastAsia" w:ascii="仿宋_GB2312" w:eastAsia="仿宋_GB2312"/>
        <w:b/>
        <w:i w:val="0"/>
        <w:sz w:val="28"/>
        <w:szCs w:val="28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8762B"/>
    <w:rsid w:val="29787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2021-07-22T09:09:00Z</dcterms:created>
  <dc:creator>Leon思念英格兰</dc:creator>
  <cp:lastModifiedBy>Leon思念英格兰</cp:lastModifiedBy>
  <dcterms:modified xsi:type="dcterms:W3CDTF">2021-07-22T09:11:24Z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E367AE1EBBC04E6CBDB5C76B803F319F</vt:lpwstr>
  </property>
</Properties>
</file>